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>
      <w:pPr>
        <w:pStyle w:val="headingcenter1"/>
        <w:rPr>
          <w:b/>
          <w:bCs/>
          <w:sz w:val="28"/>
          <w:szCs w:val="28"/>
        </w:rPr>
      </w:pPr>
      <w:r>
        <w:rPr>
          <w:b/>
          <w:bCs/>
        </w:rPr>
        <w:t>Протокол подведения итогов определения поставщика</w:t>
      </w:r>
      <w:r>
        <w:rPr>
          <w:b/>
          <w:bCs/>
        </w:rPr>
        <w:br/>
      </w:r>
      <w:r>
        <w:rPr>
          <w:b/>
          <w:bCs/>
        </w:rPr>
        <w:t>(подрядчика, исполнителя)</w:t>
      </w:r>
    </w:p>
    <w:p>
      <w:pPr>
        <w:pStyle w:val="headingcenter1"/>
        <w:rPr>
          <w:b w:val="0"/>
          <w:bCs w:val="0"/>
          <w:sz w:val="28"/>
          <w:szCs w:val="28"/>
        </w:rPr>
      </w:pPr>
      <w:r>
        <w:t>(№ 0387100019025000004)</w:t>
      </w:r>
    </w:p>
    <w:tbl>
      <w:tblPr>
        <w:tblStyle w:val="table"/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061"/>
      </w:tblGrid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28.07.2025</w:t>
            </w:r>
          </w:p>
        </w:tc>
      </w:tr>
    </w:tbl>
    <w:p>
      <w:pPr>
        <w:pStyle w:val="divWordSection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  </w:t>
      </w:r>
    </w:p>
    <w:p>
      <w:pPr>
        <w:pStyle w:val="divusual1"/>
        <w:spacing w:after="200"/>
        <w:jc w:val="left"/>
      </w:pPr>
      <w:r>
        <w:rPr>
          <w:rStyle w:val="boldText"/>
          <w:b/>
          <w:bCs/>
        </w:rPr>
        <w:t>Организатор:</w:t>
      </w:r>
      <w:r>
        <w:t>  ФЕДЕРАЛЬНОЕ ГОСУДАРСТВЕННОЕ БЮДЖЕТНОЕ ОБРАЗОВАТЕЛЬНОЕ УЧРЕЖДЕНИЕ ВЫСШЕГО ОБРАЗОВАНИЯ "ЮГОРСКИЙ ГОСУДАРСТВЕННЫЙ УНИВЕРСИТЕТ"</w:t>
      </w:r>
    </w:p>
    <w:p>
      <w:pPr>
        <w:pStyle w:val="divusual1"/>
        <w:spacing w:after="200"/>
        <w:jc w:val="left"/>
      </w:pPr>
      <w:r>
        <w:rPr>
          <w:rStyle w:val="boldText"/>
          <w:b/>
          <w:bCs/>
        </w:rPr>
        <w:t>Заказчик (и):</w:t>
      </w:r>
      <w:r>
        <w:t>  ФЕДЕРАЛЬНОЕ ГОСУДАРСТВЕННОЕ БЮДЖЕТНОЕ ОБРАЗОВАТЕЛЬНОЕ УЧРЕЖДЕНИЕ ВЫСШЕГО ОБРАЗОВАНИЯ "ЮГОРСКИЙ ГОСУДАРСТВЕННЫЙ УНИВЕРСИТЕТ"</w:t>
      </w:r>
    </w:p>
    <w:p>
      <w:pPr>
        <w:pStyle w:val="divusual1"/>
        <w:spacing w:after="200"/>
        <w:jc w:val="left"/>
      </w:pPr>
      <w:r>
        <w:rPr>
          <w:rStyle w:val="boldText"/>
          <w:b/>
          <w:bCs/>
        </w:rPr>
        <w:t>Наименование объекта закупки:</w:t>
      </w:r>
      <w:r>
        <w:t> выполнение работ по текущему ремонту помещений здания ИНТех (филиала) ФГБОУ ВО «ЮГУ»</w:t>
      </w:r>
    </w:p>
    <w:p>
      <w:pPr>
        <w:pStyle w:val="divusual1"/>
        <w:spacing w:after="200"/>
        <w:jc w:val="left"/>
      </w:pPr>
      <w:r>
        <w:rPr>
          <w:rStyle w:val="boldText"/>
          <w:b/>
          <w:bCs/>
        </w:rPr>
        <w:t>Идентификационный код закупки:</w:t>
      </w:r>
      <w:r>
        <w:t>  251860101698786010100100270014339244;</w:t>
      </w:r>
    </w:p>
    <w:p>
      <w:pPr>
        <w:pStyle w:val="divusual1"/>
        <w:spacing w:after="200"/>
        <w:jc w:val="left"/>
      </w:pPr>
      <w:r>
        <w:rPr>
          <w:rStyle w:val="boldText"/>
          <w:b/>
          <w:bCs/>
        </w:rPr>
        <w:t>Способ определения поставщика (подрядчика/исполнителя):</w:t>
      </w:r>
      <w:r>
        <w:t>  Электронный аукцион</w:t>
      </w:r>
    </w:p>
    <w:p>
      <w:pPr>
        <w:pStyle w:val="divusual1"/>
        <w:spacing w:after="200"/>
        <w:jc w:val="left"/>
      </w:pPr>
      <w:r>
        <w:rPr>
          <w:rStyle w:val="boldText"/>
          <w:b/>
          <w:bCs/>
        </w:rPr>
        <w:t>Начальная (максимальная) цена контракта/Максимальное значение цены контракта:</w:t>
      </w:r>
      <w:r>
        <w:t>  18 277 717,82  руб.</w:t>
      </w:r>
    </w:p>
    <w:p>
      <w:pPr>
        <w:pStyle w:val="commonText"/>
        <w:pBdr>
          <w:bottom w:val="none" w:sz="0" w:space="7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Извещение о проведении электронного аукциона размещено в единой информационной системе в сфере закупок (официальный сайт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u w:val="single" w:color="0000EE"/>
          </w:rPr>
          <w:t>http://zakupki.gov.ru</w:t>
        </w:r>
      </w:hyperlink>
      <w:r>
        <w:rPr>
          <w:rFonts w:ascii="Times New Roman" w:eastAsia="Times New Roman" w:hAnsi="Times New Roman" w:cs="Times New Roman"/>
        </w:rPr>
        <w:t xml:space="preserve">) и на сайте оператора электронной площадки АО «Сбербанк-АСТ» по адресу в сети интернет 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u w:val="single" w:color="0000EE"/>
          </w:rPr>
          <w:t>www.sberbank-ast.ru</w:t>
        </w:r>
      </w:hyperlink>
    </w:p>
    <w:p>
      <w:pPr>
        <w:pStyle w:val="divusual1"/>
        <w:spacing w:after="200"/>
        <w:jc w:val="left"/>
        <w:rPr>
          <w:b/>
          <w:bCs/>
        </w:rPr>
      </w:pPr>
      <w:r>
        <w:rPr>
          <w:b/>
          <w:bCs/>
        </w:rPr>
        <w:t>Состав комиссии:</w:t>
      </w:r>
    </w:p>
    <w:tbl>
      <w:tblPr>
        <w:tblStyle w:val="table"/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788"/>
        <w:gridCol w:w="6258"/>
      </w:tblGrid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На заседании комиссии присутствовали: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Председатель комиссии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Голоденко Валентина Владимировна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Член комиссии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Фасиков Юрий Флюрович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Секретарь комиссии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Стрельцова Арина Григорьевна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На заседании комиссии отсутствовали: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Зам. председателя комиссии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Еремин Степан Анатольевич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Член комиссии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Сениченко Ольга Юрьевна</w:t>
            </w:r>
          </w:p>
        </w:tc>
      </w:tr>
    </w:tbl>
    <w:p>
      <w:pPr>
        <w:pStyle w:val="divusual1"/>
        <w:spacing w:after="200"/>
        <w:jc w:val="left"/>
      </w:pPr>
      <w:r>
        <w:t>Всего на заседании присутствовало 3 члена(ов) комиссии. Кворум имеется </w:t>
      </w:r>
    </w:p>
    <w:tbl>
      <w:tblPr>
        <w:tblStyle w:val="table"/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061"/>
      </w:tblGrid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>Общие сведения об итогах закупки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br/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> 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Style w:val="dt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659"/>
              <w:gridCol w:w="1079"/>
              <w:gridCol w:w="2315"/>
              <w:gridCol w:w="1070"/>
              <w:gridCol w:w="1681"/>
              <w:gridCol w:w="1797"/>
              <w:gridCol w:w="1459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</w:trPr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Идентифи-</w:t>
                  </w: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кационный номер заявки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Дата и время подачи заявки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Предложение о цене контракта /сумме цен единиц товара, работы, услуги, руб.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Процент снижения цены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Порядковый номер заявки, присвоенный оператором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Порядковый номер заявки, присвоенный организатором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Результат рассмотрения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24.07.2025 12:18:35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17 363 831,92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5.00 %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232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25.07.2025 07:13:56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17 455 220,00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4.50 %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178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23.07.2025 17:03:25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17 500 000,00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4.26 %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24.07.2025 12:11:09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18 277 717,82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0.00 %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</w:tbl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br/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>Информация о принятом решении каждым членом комиссии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br/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> 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Style w:val="dt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659"/>
              <w:gridCol w:w="6371"/>
              <w:gridCol w:w="3031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</w:trPr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Идентифи-</w:t>
                  </w: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кационный номер заявки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Ф.И.О. члена комиссии / Общее решение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Решение по заявке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Голоденко  Валентина  Владимировна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Фасиков  Юрий  Флюрович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Стрельцова  Арина  Григорьевна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Общее решение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232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Голоденко  Валентина  Владимировна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Фасиков  Юрий  Флюрович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Стрельцова  Арина  Григорьевна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Общее решение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178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Голоденко  Валентина  Владимировна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Фасиков  Юрий  Флюрович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Стрельцова  Арина  Григорьевна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Общее решение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Голоденко  Валентина  Владимировна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Фасиков  Юрий  Флюрович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Стрельцова  Арина  Григорьевна 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>
                  <w:pPr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Общее решение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vAlign w:val="center"/>
                  <w:hideMark/>
                </w:tcPr>
                <w:p>
                  <w:pPr>
                    <w:jc w:val="center"/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 w:val="0"/>
                      <w:iCs w:val="0"/>
                      <w:smallCaps w:val="0"/>
                      <w:color w:val="000000"/>
                      <w:sz w:val="21"/>
                      <w:szCs w:val="21"/>
                    </w:rPr>
                    <w:t>Соответствует</w:t>
                  </w:r>
                </w:p>
              </w:tc>
            </w:tr>
          </w:tbl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>
            <w:pPr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 результатам подведения итогов определения поставщика (подрядчика, исполнителя) победителем электронного аукциона признается участник закупки с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>идентификационным номером заявки – 77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, заявка на участие в закупке которого соответствует требованиям, установленным в извещении об осуществлении закупки, с предложением о цене контракта /суммы цен единиц товара, работы, услуги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>17 363 831,92 руб. (семнадцать миллионов триста шестьдесят три тысячи восемьсот тридцать один рубль девяносто две копейки)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>
            <w:pPr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Настоящий протокол сформирован с использованием электронной площадки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АО «Сбербанк-АСТ»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АО «Сбербанк-АСТ»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, по адресу в сети «Интернет»: </w:t>
            </w:r>
            <w:hyperlink r:id="rId5" w:history="1">
              <w:r>
                <w:rPr>
                  <w:b w:val="0"/>
                  <w:bCs w:val="0"/>
                  <w:i w:val="0"/>
                  <w:iCs w:val="0"/>
                  <w:smallCaps w:val="0"/>
                  <w:color w:val="0000FF"/>
                  <w:sz w:val="20"/>
                  <w:szCs w:val="20"/>
                  <w:u w:val="single" w:color="0000EE"/>
                </w:rPr>
                <w:t>www.sberbank-ast.ru</w:t>
              </w:r>
            </w:hyperlink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pStyle w:val="divusual1"/>
        <w:spacing w:after="200"/>
        <w:jc w:val="left"/>
        <w:rPr>
          <w:b/>
          <w:bCs/>
        </w:rPr>
      </w:pPr>
      <w:r>
        <w:rPr>
          <w:b/>
          <w:bCs/>
        </w:rPr>
        <w:t>Комиссия:</w:t>
      </w:r>
    </w:p>
    <w:tbl>
      <w:tblPr>
        <w:tblStyle w:val="commissionTable"/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412"/>
        <w:gridCol w:w="3309"/>
        <w:gridCol w:w="3309"/>
      </w:tblGrid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2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Председатель комиссии</w:t>
            </w:r>
          </w:p>
        </w:tc>
        <w:tc>
          <w:tcPr>
            <w:tcW w:w="15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ind w:left="720" w:firstLine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_____________</w:t>
            </w:r>
          </w:p>
          <w:p>
            <w:pPr>
              <w:spacing w:after="240"/>
              <w:ind w:left="720" w:firstLine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Голоденко Валентина Владимировна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2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Член комиссии</w:t>
            </w:r>
          </w:p>
        </w:tc>
        <w:tc>
          <w:tcPr>
            <w:tcW w:w="15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ind w:left="720" w:firstLine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_____________</w:t>
            </w:r>
          </w:p>
          <w:p>
            <w:pPr>
              <w:spacing w:after="240"/>
              <w:ind w:left="720" w:firstLine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Фасиков Юрий Флюрович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2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Секретарь комиссии</w:t>
            </w:r>
          </w:p>
        </w:tc>
        <w:tc>
          <w:tcPr>
            <w:tcW w:w="15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ind w:left="720" w:firstLine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_____________</w:t>
            </w:r>
          </w:p>
          <w:p>
            <w:pPr>
              <w:spacing w:after="240"/>
              <w:ind w:left="720" w:firstLine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Стрельцова Арина Григорьевна</w:t>
            </w:r>
          </w:p>
        </w:tc>
      </w:tr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 w:rsidR="00A77B3E"/>
    <w:sectPr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headingcenter1">
    <w:name w:val="headingcenter1"/>
    <w:basedOn w:val="Normal"/>
    <w:pPr>
      <w:jc w:val="center"/>
    </w:pPr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table" w:customStyle="1" w:styleId="table">
    <w:name w:val="table"/>
    <w:basedOn w:val="TableNormal"/>
    <w:tblPr/>
  </w:style>
  <w:style w:type="paragraph" w:customStyle="1" w:styleId="divusual1">
    <w:name w:val="div_usual1"/>
    <w:basedOn w:val="Normal"/>
    <w:rPr>
      <w:rFonts w:ascii="Times New Roman" w:eastAsia="Times New Roman" w:hAnsi="Times New Roman" w:cs="Times New Roman"/>
    </w:rPr>
  </w:style>
  <w:style w:type="character" w:customStyle="1" w:styleId="boldText">
    <w:name w:val="boldText"/>
    <w:basedOn w:val="DefaultParagraphFont"/>
    <w:rPr>
      <w:b/>
      <w:bCs/>
    </w:rPr>
  </w:style>
  <w:style w:type="paragraph" w:customStyle="1" w:styleId="commonText">
    <w:name w:val="commonText"/>
    <w:basedOn w:val="Normal"/>
    <w:pPr>
      <w:pBdr>
        <w:bottom w:val="none" w:sz="0" w:space="7" w:color="auto"/>
      </w:pBdr>
      <w:jc w:val="both"/>
    </w:pPr>
  </w:style>
  <w:style w:type="table" w:customStyle="1" w:styleId="dt">
    <w:name w:val="dt"/>
    <w:basedOn w:val="TableNormal"/>
    <w:tblPr/>
  </w:style>
  <w:style w:type="table" w:customStyle="1" w:styleId="commissionTable">
    <w:name w:val="commission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" TargetMode="External" /><Relationship Id="rId5" Type="http://schemas.openxmlformats.org/officeDocument/2006/relationships/hyperlink" Target="http://www.sberbank-ast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